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81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2177"/>
        <w:gridCol w:w="8638"/>
      </w:tblGrid>
      <w:tr w:rsidR="00022FD7" w:rsidTr="00480FAB">
        <w:trPr>
          <w:trHeight w:val="1503"/>
        </w:trPr>
        <w:tc>
          <w:tcPr>
            <w:tcW w:w="217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:rsidR="00022FD7" w:rsidRDefault="00022FD7" w:rsidP="00480FA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noProof/>
                <w:sz w:val="36"/>
                <w:szCs w:val="24"/>
                <w:lang w:bidi="hi-IN"/>
              </w:rPr>
              <w:drawing>
                <wp:inline distT="0" distB="0" distL="0" distR="0">
                  <wp:extent cx="1283970" cy="932180"/>
                  <wp:effectExtent l="19050" t="0" r="0" b="0"/>
                  <wp:docPr id="2" name="Picture 1" descr="au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:rsidR="00022FD7" w:rsidRDefault="00022FD7" w:rsidP="00480F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80"/>
              </w:rPr>
            </w:pPr>
            <w:r>
              <w:rPr>
                <w:rFonts w:ascii="Cambria" w:hAnsi="Cambria"/>
                <w:b/>
                <w:sz w:val="76"/>
              </w:rPr>
              <w:t xml:space="preserve">Abhilashi University </w:t>
            </w:r>
          </w:p>
          <w:p w:rsidR="00022FD7" w:rsidRDefault="00022FD7" w:rsidP="00480F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>
              <w:rPr>
                <w:rFonts w:ascii="Cambria" w:hAnsi="Cambria"/>
                <w:b/>
                <w:sz w:val="28"/>
                <w:u w:val="single"/>
              </w:rPr>
              <w:t>Chailchowk (Chachyot) Distt. Mandi (H.P.)</w:t>
            </w:r>
          </w:p>
          <w:p w:rsidR="00022FD7" w:rsidRDefault="00022FD7" w:rsidP="00480F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0"/>
              </w:rPr>
              <w:t>Ph: 01907-250408, 9418006520, 9816700520, 9816005139</w:t>
            </w:r>
          </w:p>
        </w:tc>
      </w:tr>
    </w:tbl>
    <w:p w:rsidR="001C6852" w:rsidRPr="00291571" w:rsidRDefault="001C6852" w:rsidP="002325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25C9" w:rsidRPr="00E11CF4" w:rsidRDefault="002325C9" w:rsidP="002325C9">
      <w:pPr>
        <w:pStyle w:val="NoSpacing"/>
        <w:jc w:val="center"/>
        <w:rPr>
          <w:rFonts w:ascii="Times New Roman" w:hAnsi="Times New Roman" w:cs="Times New Roman"/>
          <w:b/>
          <w:sz w:val="42"/>
          <w:szCs w:val="24"/>
          <w:u w:val="single"/>
        </w:rPr>
      </w:pPr>
      <w:r w:rsidRPr="00E11CF4">
        <w:rPr>
          <w:rFonts w:ascii="Times New Roman" w:hAnsi="Times New Roman" w:cs="Times New Roman"/>
          <w:b/>
          <w:sz w:val="42"/>
          <w:szCs w:val="24"/>
          <w:u w:val="single"/>
        </w:rPr>
        <w:t>List of Publications</w:t>
      </w:r>
      <w:r w:rsidR="00A0499A" w:rsidRPr="00E11CF4">
        <w:rPr>
          <w:rFonts w:ascii="Times New Roman" w:hAnsi="Times New Roman" w:cs="Times New Roman"/>
          <w:b/>
          <w:sz w:val="42"/>
          <w:szCs w:val="24"/>
          <w:u w:val="single"/>
        </w:rPr>
        <w:t xml:space="preserve"> </w:t>
      </w:r>
      <w:r w:rsidR="00E11CF4" w:rsidRPr="00E11CF4">
        <w:rPr>
          <w:rFonts w:ascii="Times New Roman" w:hAnsi="Times New Roman" w:cs="Times New Roman"/>
          <w:b/>
          <w:sz w:val="42"/>
          <w:szCs w:val="24"/>
          <w:u w:val="single"/>
        </w:rPr>
        <w:t xml:space="preserve">during </w:t>
      </w:r>
    </w:p>
    <w:p w:rsidR="002325C9" w:rsidRPr="00291571" w:rsidRDefault="002325C9" w:rsidP="002325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7396" w:rsidRPr="00291571" w:rsidRDefault="00FF7396" w:rsidP="00713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5"/>
        <w:gridCol w:w="23"/>
        <w:gridCol w:w="1350"/>
        <w:gridCol w:w="23"/>
        <w:gridCol w:w="787"/>
        <w:gridCol w:w="7"/>
        <w:gridCol w:w="2873"/>
        <w:gridCol w:w="2070"/>
        <w:gridCol w:w="990"/>
        <w:gridCol w:w="828"/>
      </w:tblGrid>
      <w:tr w:rsidR="00480FAB" w:rsidRPr="004152FB" w:rsidTr="00480FAB">
        <w:tc>
          <w:tcPr>
            <w:tcW w:w="9576" w:type="dxa"/>
            <w:gridSpan w:val="10"/>
          </w:tcPr>
          <w:p w:rsidR="00480FAB" w:rsidRPr="004152FB" w:rsidRDefault="00480FAB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2014</w:t>
            </w:r>
          </w:p>
        </w:tc>
      </w:tr>
      <w:tr w:rsidR="00C26D35" w:rsidRPr="004152FB" w:rsidTr="00C26D35">
        <w:tc>
          <w:tcPr>
            <w:tcW w:w="625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396" w:type="dxa"/>
            <w:gridSpan w:val="3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Name of Author</w:t>
            </w:r>
          </w:p>
        </w:tc>
        <w:tc>
          <w:tcPr>
            <w:tcW w:w="794" w:type="dxa"/>
            <w:gridSpan w:val="2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73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2070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Name of Journal</w:t>
            </w:r>
            <w:r w:rsidR="00B322DD"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/Books</w:t>
            </w:r>
          </w:p>
        </w:tc>
        <w:tc>
          <w:tcPr>
            <w:tcW w:w="990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Volume No.</w:t>
            </w:r>
          </w:p>
        </w:tc>
        <w:tc>
          <w:tcPr>
            <w:tcW w:w="828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Pages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 H. S., Singh J.,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M. L.    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2014  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Avifauna of Prashar lake and its surrounding area in Mandi district (Himachal Pradesh), India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7(2),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47-56.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Singh, V.   &amp;   Banyal, H. S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Preliminary ecological studies on the Lepidoptera from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Khajjiar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lake catchment, Himachal Pradesh, 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Biodiversity Journal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5 (1)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61-68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Singh, J.,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M. L.,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D.R.  </w:t>
            </w:r>
            <w:proofErr w:type="gram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&amp;  Banyal</w:t>
            </w:r>
            <w:proofErr w:type="gram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H. S.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Mammalian fauna of Prashar lake and its surrounding area in Mandi district ( Himachal Pradesh),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66-71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Banyal</w:t>
            </w:r>
            <w:proofErr w:type="gram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 H</w:t>
            </w:r>
            <w:proofErr w:type="gram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. S.,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Rani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&amp; Devi, N.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Picrorhiza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kurrooa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Royle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Ex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Benth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exhibits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antimalarial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activity against 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Vincke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72-75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Banyal</w:t>
            </w:r>
            <w:proofErr w:type="gram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 H</w:t>
            </w:r>
            <w:proofErr w:type="gram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. S.,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Tandon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A.  &amp;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Nainta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M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Antimalarial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effect of extracts of 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Arisaema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jacquemontii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Bl. on 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Vincke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(3),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131-134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Pirta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C.  &amp;  Banyal, H. S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43kDa and 66kDa, two blood stage antigens induce immune response in  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malaria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Indian Journal of Experimental Biology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55 (August)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781-786.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Singh, V.   &amp;   Banyal, H. S.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Biodiversity in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Khajjiar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lake of Himachal Pradesh, India Threats and conservation.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Biodiversity and Conservation.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6 (7),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495-501. 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Banyal, H. S.,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R. S.,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D.R., and Mehta, A.   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Avifauna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Chandertal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Wildlife sanctuary of District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Lahaul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Spiti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Himachal Pradesh,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(4),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151-157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Banyal, H. S., Devi, V.  &amp; Devi, N.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Bioefficacy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Centella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asciatica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(Linn.) Urban on 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Vincke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(5)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238-241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9" w:history="1"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Colletotrichum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gloeosporioides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: Biology,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Pathogenicity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and Management in India</w:t>
              </w:r>
            </w:hyperlink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 Plant Physiology &amp; Pathology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shd w:val="clear" w:color="auto" w:fill="FFFFFF"/>
              <w:contextualSpacing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2(2)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1-11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0" w:history="1"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Fusicladium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ahmadii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on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Pyrus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pashia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: a new record for Indian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mycobiota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from Himachal Pradesh</w:t>
              </w:r>
            </w:hyperlink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and Quarantine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86-89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1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Detection of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Aflatoxin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Producing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Aspergillus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flavus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in Post-harvest Contaminated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Vigna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ungulculata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Seeds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Suan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Sunandha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Science and Technology Journal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1(1)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1-7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2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 study on mango (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Mangifera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indica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L.) trunk decay by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Phellinus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gilvus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(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Schw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.) Pat. from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Letters of Natural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9-15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3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The genera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Colletotrichum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: an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incitant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of numerous new plant diseases in India.</w:t>
              </w:r>
            </w:hyperlink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on New Biological Reports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(1),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09-21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4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Powdery mildew of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Celtis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australis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: a report from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and Quarantine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(1):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14-16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5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Diversity of fungal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endophytes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in some medicinal plants of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Archives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Phytopathology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Plant Protection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47 (5),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537–544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6" w:history="1"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Occurrence of black mildew on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Aegle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marmelos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at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himachal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pradesh</w:t>
              </w:r>
              <w:proofErr w:type="spellEnd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, </w:t>
              </w:r>
              <w:proofErr w:type="spellStart"/>
              <w:r w:rsidRPr="004152FB">
                <w:rPr>
                  <w:rFonts w:ascii="Bookman Old Style" w:hAnsi="Bookman Old Style" w:cs="Times New Roman"/>
                  <w:sz w:val="20"/>
                  <w:szCs w:val="20"/>
                </w:rPr>
                <w:t>india</w:t>
              </w:r>
              <w:proofErr w:type="spellEnd"/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International Journal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Phytopathology</w:t>
            </w:r>
            <w:proofErr w:type="spellEnd"/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(3),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161-162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0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Raju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Swine Flu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 (5)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80-87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Garg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R, Kabra A, Chauhan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Study of Medication Error and Compliances for Inclusion of New Drugs in Hospital Pharmacy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International Journal of Fundamental and Applied Sciences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3(2) /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27-29.  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Hetal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D, Sharma R, Hitesh A, Vyas, Vyas M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Importance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Tattva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: A searchlight in Yoga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Darshana</w:t>
            </w:r>
            <w:proofErr w:type="spellEnd"/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AYU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35 (3)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221-6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Diet and lifestyle guidelines for diabetes: evidence based Ayurvedic perspective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Romanian Journal of Diabetes, Nutrition and Metabolic Diseases 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Elsevier,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DE GRUTER OPEN, Ilex publishing)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21(4)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335-346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H, Vyas M K,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Dwivedi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Nootropic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medhya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) effect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Bhāvita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Śa</w:t>
            </w:r>
            <w:r w:rsidRPr="004152FB">
              <w:rPr>
                <w:rFonts w:ascii="Bookman Old Style" w:hAnsi="Times New Roman"/>
                <w:bCs/>
                <w:sz w:val="20"/>
                <w:szCs w:val="20"/>
              </w:rPr>
              <w:t>ṇ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khapu</w:t>
            </w:r>
            <w:r w:rsidRPr="004152FB">
              <w:rPr>
                <w:rFonts w:ascii="Bookman Old Style" w:hAnsi="Times New Roman"/>
                <w:bCs/>
                <w:sz w:val="20"/>
                <w:szCs w:val="20"/>
              </w:rPr>
              <w:t>ṣ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pī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tablets: A clinical appraisal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34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109-12.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Galib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Therapeutic vistas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Guduchi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willd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.)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Miers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): A medico-historical memoir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Research and education in Indian Medicine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Scopemed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XX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121-135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Galib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Remarks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“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One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plant,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many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roles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33 (3)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192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Yoga: As an adjunct therapy to trim down the Ayurvedic drug requirement in non insulin-dependent diabetes mellitus. 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33 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229-35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M,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Dhiman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>Shankhapushpi</w:t>
            </w:r>
            <w:proofErr w:type="spellEnd"/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Convolvulus </w:t>
            </w:r>
            <w:proofErr w:type="spellStart"/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>pluricaulis</w:t>
            </w:r>
            <w:proofErr w:type="spellEnd"/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Choisy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):Validation of the Ayurvedic  therapeutic claims through contemporary studies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Green Pharmacy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8 (4)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193-200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M K,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Dwivedi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R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R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Memory Loss In Geriatric Age And Its Prevention Through Yogic Lifestyle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Journal of Research and Education in Indian 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Scopemed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XX (1).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29-35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Charde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V,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Patgiri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BJ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Efficacy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Makardhwaja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on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Madhumeha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(Type 2 Diabetes) – A review through Ayurvedic studies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American Journal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Phytomedicine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and Clinical Therapeutics </w:t>
            </w:r>
          </w:p>
          <w:p w:rsidR="00480FA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(Impact factor 3.26)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 (12)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1470-1479.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 D, Sharma R, Vyas M K.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Philosophical and Applied Vistas of Yoga in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Charaka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Samhita</w:t>
            </w:r>
            <w:proofErr w:type="spellEnd"/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Annals of Ayurvedic Medicine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Scopemed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3(1-2).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48-51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R, Sharma R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Physico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- Chemical evaluation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Guduchyadi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kwatha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for Instant use: An Ayurvedic Herbal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British Journal of Pharmaceutical Research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.4 (22)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2599-2613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Amrutia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Patgiri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B J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Standard Manufacturing procedure (SMP)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Kumkumadi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Ghrita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: An Ayurvedic formulation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World journal of Pharmaceutical Research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(SJIF Impact Factor – 5.045)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3 (9)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837-849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Panday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Standardization and quality control parameters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Dashmoola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Kwatha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Granules for Instant use: An Ayurvedic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American International Journal of Contemporary Scientific Research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(Impact Factor – 3.3245)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1 (4)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10-16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 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Concepts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(~mind): An Insight from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Vaiseshika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Darshana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and Ayurveda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British Journal of Medical and Health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1 (1)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1-12</w:t>
            </w:r>
          </w:p>
        </w:tc>
      </w:tr>
      <w:tr w:rsidR="00480FAB" w:rsidRPr="004152FB" w:rsidTr="00480FAB">
        <w:trPr>
          <w:trHeight w:val="1331"/>
        </w:trPr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M, Vyas H.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Genomic Counterparts to Human Constitution (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Prakriti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Indian Journal of Ancient Medicine and Yoga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7(2)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29-37.</w:t>
            </w:r>
          </w:p>
        </w:tc>
      </w:tr>
      <w:tr w:rsidR="00480FAB" w:rsidRPr="004152FB" w:rsidTr="00480FAB">
        <w:trPr>
          <w:trHeight w:val="1376"/>
        </w:trPr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Agrawal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S,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Bedarkar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Efficacy  of  Ayurvedic  therapies  on  psoriasis: a review on researches conducted at Gujarat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Ayurved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University, Jamnagar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International Journal of Ayurveda and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Pharma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Research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(UIF – 2.5781, SJIF – 2.583, ICV – 4.48)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15-24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Antidiabetic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appraisal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Guduchi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Willd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.)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Miers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): Insightful exposition of Ayurvedic claims’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Rasamruta</w:t>
            </w:r>
            <w:proofErr w:type="spellEnd"/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(World first e-journal in Ayurveda Research)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6(16)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01-12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M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Recommendation of Ayurvedic diet and lifestyle guidelines for different 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Prakriti</w:t>
            </w:r>
            <w:proofErr w:type="spellEnd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(constitution)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people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’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Rasamruta</w:t>
            </w:r>
            <w:proofErr w:type="spellEnd"/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(World first e-journal in Ayurveda Research)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6(23)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01-13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Amrutia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Patgiri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BJ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Clinical efficacy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Kumkumadi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Ghrita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prepared by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Kesar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and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Nagakesar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on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Mukhadushika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(Acne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vulgaris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International Journal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Pharma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Sciences and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5 (11)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806-811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Chugh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D,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Marwaha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M,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Harisha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CR,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AB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Ingredients identification and quality control Evaluation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shwadanshtradi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taila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: an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ayurvedic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Ayurpharm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International Journal of Ayurveda &amp; Allied Sciences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3 (9)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267 – 274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Concept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(Mind) In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Nāstika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Darshana</w:t>
            </w:r>
            <w:proofErr w:type="spellEnd"/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Journal of Ayurveda Physicians and Surgeons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1(1)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23-29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GH, Vyas HA.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Impact of selected Yogic procedures as 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Sattvavajaya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Cikitsa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on “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Smriti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”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  <w:lang w:eastAsia="en-IN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Journal of Research and Education in Indian 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Scopemed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XX(3-4)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181-189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Hitesh, Vyas A, Vyas M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Concept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: Insights from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Nyāya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Darśana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Āyurveda</w:t>
            </w:r>
            <w:proofErr w:type="spellEnd"/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Yoga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Mimamsa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46 (3-4)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71-75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- A practical facet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Āyurveda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Yoga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Mimamsa</w:t>
            </w:r>
            <w:proofErr w:type="spellEnd"/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46 (3&amp;4)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64-70.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 Study Of Mental Health Of High School Students Studying In Co-Educational And Unisex Schools</w:t>
            </w: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Recent Educational Psychological Researches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25-29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Aggression Among School Going Adolescents in Relation To Their Gender And Of Optimistic - Pessimistic Attitude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Journal of educational 7 Psychological Research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172-176</w:t>
            </w:r>
          </w:p>
        </w:tc>
      </w:tr>
      <w:tr w:rsidR="001B2183" w:rsidRPr="004152FB" w:rsidTr="00911DC7">
        <w:tc>
          <w:tcPr>
            <w:tcW w:w="9576" w:type="dxa"/>
            <w:gridSpan w:val="10"/>
          </w:tcPr>
          <w:p w:rsidR="001B2183" w:rsidRDefault="001B2183" w:rsidP="001B2183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1B2183" w:rsidRPr="004152FB" w:rsidRDefault="001B2183" w:rsidP="001B2183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R. K.  &amp; Banyal, H. S.   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Status, diversity &amp; ecology of</w:t>
            </w:r>
            <w:r w:rsidR="000A1B78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mammals of trans-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himalayan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Rakchham-Chhitkul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wildlife sanctuary in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Baspa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Sangla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) valley District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Kinnaur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Himachal Pradesh, India.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 (4), Ver. V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06-12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Singh, J., Thakur, M. L.  &amp;  Banyal, H.S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Status of Pisces,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Amphibia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Reptilia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in Prashar area of Mandi district (Himachal Pradesh), India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.   Asian J Biological and Life  Sciences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(2),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146-151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Devi, N.  &amp;   Banyal, H. S.   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66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kDa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protein isolated from 24,000g fraction of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 exhibits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humoral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immune response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Science and Research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(8),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1579-1583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Kumar, R., Thakur, M. L. &amp;  Banyal,  H. S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Avifauna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Rakchham-Chhitkul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wildlife sanctuary District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Kinnaur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Himachal Pradesh,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 (2), Ver. IV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18-25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Banyal,  H. S.,  Sharma, R. &amp; Devi, N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Antimalarial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effect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Ocimum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sanctum Linn. And Bauhinia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variegata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Linn. on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Sciences,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10 (2)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Ver.II</w:t>
            </w:r>
            <w:proofErr w:type="spellEnd"/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70-72.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Studies on some powdery mildew of Himachal Pradesh,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Australasian Mycologist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10-13</w:t>
            </w:r>
          </w:p>
        </w:tc>
      </w:tr>
      <w:tr w:rsidR="006D01B2" w:rsidRPr="004152FB" w:rsidTr="00480FAB">
        <w:trPr>
          <w:trHeight w:val="962"/>
        </w:trPr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AF1523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7" w:history="1"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Prillieuxina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aeglicola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sp.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nov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. (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ascomycota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), a new black mildew fungus from Himachal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Current Research in Environmental &amp; Applied Mycology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70-73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A83259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Gautam A.K., 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Avasthi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R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Bhadauria</w:t>
            </w:r>
            <w:proofErr w:type="spellEnd"/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AF1523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8" w:history="1"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A new species of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Scytalidium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from Himachal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on new biological reports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7-10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Avasthi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Gautam A.K.,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Bhadauria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AF1523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9" w:history="1"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Occurrence of leaf spot diseases on Aloe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vera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(L.)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Burm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. f. caused by </w:t>
              </w:r>
              <w:proofErr w:type="spellStart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Curvularia</w:t>
              </w:r>
              <w:proofErr w:type="spellEnd"/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 xml:space="preserve"> species from Madhya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Biodiversitas</w:t>
            </w:r>
            <w:proofErr w:type="spellEnd"/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16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79-83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4152FB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First report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Nigrospora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sphaerica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causing leaf spots on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Celtis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australis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from Himachal Pradesh.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Letters of Natural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18-20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Avasthi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S, Gautam A.K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Bhadauria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First report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Penicillium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purpurogenum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Stoll causing collar and root rot infection in Aloe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vera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&amp; Quarantine</w:t>
            </w:r>
          </w:p>
        </w:tc>
        <w:tc>
          <w:tcPr>
            <w:tcW w:w="990" w:type="dxa"/>
          </w:tcPr>
          <w:p w:rsidR="006D01B2" w:rsidRPr="004152FB" w:rsidRDefault="004A383B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5(1)</w:t>
            </w:r>
          </w:p>
        </w:tc>
        <w:tc>
          <w:tcPr>
            <w:tcW w:w="828" w:type="dxa"/>
          </w:tcPr>
          <w:p w:rsidR="006D01B2" w:rsidRPr="004152FB" w:rsidRDefault="004A383B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20-24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Lichens: The Natural Bio-indicator of Air Pollution. Indian Botanists</w:t>
            </w:r>
          </w:p>
        </w:tc>
        <w:tc>
          <w:tcPr>
            <w:tcW w:w="2070" w:type="dxa"/>
          </w:tcPr>
          <w:p w:rsidR="006D01B2" w:rsidRPr="004152FB" w:rsidRDefault="00DE08A1" w:rsidP="00DE08A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Indian Botanist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DE08A1" w:rsidP="00DE08A1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02/05/2015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DE08A1" w:rsidP="00DE08A1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1-2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N,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Jamwal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R.S.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Genetic Variability Study of European Carrot (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Doucus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Carola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Annals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Agri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Bio Research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40-42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N,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Jamwal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R.S.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Correlation Coefficient and Path Analysis Study in European Carrot (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Doucus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Carola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L)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Annals of Biology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97-100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D.R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Kalpna</w:t>
            </w:r>
            <w:proofErr w:type="spellEnd"/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SEM description and life history traits of Indian biotype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Acanthoscelides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macrophtha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lmus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(Schaeffer) (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Coleoptera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: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Bruchidae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International Journal of Zoological Research </w:t>
            </w:r>
          </w:p>
        </w:tc>
        <w:tc>
          <w:tcPr>
            <w:tcW w:w="990" w:type="dxa"/>
          </w:tcPr>
          <w:p w:rsidR="006D01B2" w:rsidRPr="004152FB" w:rsidRDefault="00650E8C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11(1</w:t>
            </w:r>
            <w:r w:rsidR="006D01B2" w:rsidRPr="004152FB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19-28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Sandhi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J, Guleria A.S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Financial Management: Some considerations for Resource Mobilization in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BMET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7(1)</w:t>
            </w:r>
          </w:p>
        </w:tc>
        <w:tc>
          <w:tcPr>
            <w:tcW w:w="828" w:type="dxa"/>
          </w:tcPr>
          <w:p w:rsidR="006D01B2" w:rsidRPr="004152FB" w:rsidRDefault="006D01B2" w:rsidP="00172EEE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172EEE" w:rsidRPr="004152FB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-81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Guleria A.S</w:t>
            </w:r>
          </w:p>
        </w:tc>
        <w:tc>
          <w:tcPr>
            <w:tcW w:w="817" w:type="dxa"/>
            <w:gridSpan w:val="3"/>
          </w:tcPr>
          <w:p w:rsidR="006D01B2" w:rsidRPr="004152FB" w:rsidRDefault="00650E8C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Input-Output Coefficients in a North-Western Himalayan Region and its Implication to Financial Resources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Research in Commerce, IT &amp; Management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50E8C" w:rsidP="00354762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Accepted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--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G.P, Sharma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Green Computing: An Emerging technology.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23-26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Evaluating Quality of Software Component Using Metrics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911F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Journal of Engineering Sciences</w:t>
            </w:r>
          </w:p>
          <w:p w:rsidR="001911F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1911F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June 2015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1-10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C099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Chauhan V.K,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Dhiman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P.K,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Kapoor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Restoration of Images Morphologic and KNN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Advances in Engineering &amp; Technology</w:t>
            </w:r>
          </w:p>
        </w:tc>
        <w:tc>
          <w:tcPr>
            <w:tcW w:w="990" w:type="dxa"/>
          </w:tcPr>
          <w:p w:rsidR="006D01B2" w:rsidRPr="004152FB" w:rsidRDefault="00ED160F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Aug. 2015</w:t>
            </w:r>
          </w:p>
        </w:tc>
        <w:tc>
          <w:tcPr>
            <w:tcW w:w="828" w:type="dxa"/>
          </w:tcPr>
          <w:p w:rsidR="00E8562E" w:rsidRPr="004152FB" w:rsidRDefault="00E8562E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E8562E" w:rsidP="00E8562E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--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Arya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Dhiman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P.K,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Kapoor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K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CBDS (Cooperative bait detection scheme)Attack-A Review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Advances Research in Computer Engineering &amp;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(8)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3438-3434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Strategic HRM- the role it plays in an organizational performance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Social Science and Interdisciplinary Research (IJSSR).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32-35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G.P,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Dhiman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P.K,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Kapoor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Various Voices Over IP Codec’s for WMN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Engineering Trends and Technology (IJETT)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114-119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Raju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An Update Review on Natural and Synthetic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Superdisintegrants</w:t>
            </w:r>
            <w:proofErr w:type="spellEnd"/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14-24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A, Kumari B, Raju L.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Natural Building Agent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(2)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25-31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Kabra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Baghel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U.S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Herbal Option and Alternative Therapies for asthma An Overview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Conservation and Cultivation of Medicinal Plants.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Ed. Singh N,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Bharti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P.K.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Discovery P.H,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pp. 117-129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M, Kabra A, Kabra R,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M,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Dhatwalia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V 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Plant Species Used By Locals As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Ethano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- Medicine in Gohar Tehsil, Distt. Mandi, “Region of North Western Himalaya”</w:t>
            </w:r>
          </w:p>
        </w:tc>
        <w:tc>
          <w:tcPr>
            <w:tcW w:w="2070" w:type="dxa"/>
          </w:tcPr>
          <w:p w:rsidR="006D01B2" w:rsidRPr="004152FB" w:rsidRDefault="006D01B2" w:rsidP="005767A0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Pharma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Tutor 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3(4) 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47-52 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M, Kabra A, Kabra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Phytochemical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Pharmacological Properties of </w:t>
            </w:r>
            <w:proofErr w:type="spellStart"/>
            <w:r w:rsidRPr="004152FB">
              <w:rPr>
                <w:rFonts w:ascii="Bookman Old Style" w:hAnsi="Bookman Old Style" w:cs="Times New Roman"/>
                <w:i/>
                <w:sz w:val="20"/>
                <w:szCs w:val="20"/>
              </w:rPr>
              <w:t>Maytenus</w:t>
            </w:r>
            <w:proofErr w:type="spellEnd"/>
            <w:r w:rsidRPr="004152FB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i/>
                <w:sz w:val="20"/>
                <w:szCs w:val="20"/>
              </w:rPr>
              <w:t>emarginata</w:t>
            </w:r>
            <w:proofErr w:type="spellEnd"/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</w:t>
            </w:r>
            <w:r w:rsidR="001D6A5C" w:rsidRPr="004152F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Conservation and Cultivation of Medicinal Plants.</w:t>
            </w:r>
          </w:p>
        </w:tc>
        <w:tc>
          <w:tcPr>
            <w:tcW w:w="990" w:type="dxa"/>
          </w:tcPr>
          <w:p w:rsidR="006D01B2" w:rsidRPr="004152FB" w:rsidRDefault="006D01B2" w:rsidP="001A0AE5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Ed. </w:t>
            </w:r>
          </w:p>
          <w:p w:rsidR="006D01B2" w:rsidRPr="004152FB" w:rsidRDefault="006D01B2" w:rsidP="001A0AE5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N. Singh, P.K.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Bharti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Discovery P.H,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pp.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152-167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M, Kabra A,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Phytochemical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Screening of Some Himachal Medicinal Plants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Kabra A, Kabra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Baghel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U.S.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Premna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Specis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- A Review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Journal of Biological and Chemical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Chronicals</w:t>
            </w:r>
            <w:proofErr w:type="spellEnd"/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1(1):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55-59.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Chauhan S,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Sini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Chinu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, Chaudhary S.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 Review on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Ethanobotanical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and Pharmacological 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Uses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Bombax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Ceiba</w:t>
            </w:r>
            <w:proofErr w:type="spellEnd"/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12-18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Antidiabetic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claims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Willd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.)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Miers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: Critical appraisal and role in therapy</w:t>
            </w:r>
          </w:p>
        </w:tc>
        <w:tc>
          <w:tcPr>
            <w:tcW w:w="2070" w:type="dxa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Asian Pacific Journal of Tropical Biomedicine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(Elsevier, Science direct publication, Impact factor: 1.171)</w:t>
            </w:r>
          </w:p>
        </w:tc>
        <w:tc>
          <w:tcPr>
            <w:tcW w:w="990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5(1):</w:t>
            </w:r>
          </w:p>
        </w:tc>
        <w:tc>
          <w:tcPr>
            <w:tcW w:w="828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68-78.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R, Vyas H A, Vyas M K.</w:t>
            </w:r>
          </w:p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Concept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Manas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in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Samkhya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Darshana</w:t>
            </w:r>
            <w:proofErr w:type="spellEnd"/>
          </w:p>
        </w:tc>
        <w:tc>
          <w:tcPr>
            <w:tcW w:w="2070" w:type="dxa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Indian Journal of History of Science</w:t>
            </w:r>
          </w:p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INSA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B21A88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50</w:t>
            </w:r>
            <w:r w:rsidR="001D6A5C" w:rsidRPr="004152FB">
              <w:rPr>
                <w:rFonts w:ascii="Bookman Old Style" w:hAnsi="Bookman Old Style"/>
                <w:bCs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  <w:r w:rsidR="001D6A5C"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125-130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Guleria AS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Input-Output Coefficient in a north western Himalaya region and its implication to Financial Resources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Research in Computer Application &amp; Management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5(11)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01-07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C0016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C0016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Biochemical and anthropometric  profile  of  obese subjects of different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Prakriti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(constitution) at Jamnagar District, Gujarat, India</w:t>
            </w:r>
          </w:p>
        </w:tc>
        <w:tc>
          <w:tcPr>
            <w:tcW w:w="2070" w:type="dxa"/>
          </w:tcPr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Clinical and Experimental Physiology</w:t>
            </w:r>
          </w:p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C0016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2(1):</w:t>
            </w:r>
          </w:p>
        </w:tc>
        <w:tc>
          <w:tcPr>
            <w:tcW w:w="828" w:type="dxa"/>
          </w:tcPr>
          <w:p w:rsidR="006D01B2" w:rsidRPr="004152FB" w:rsidRDefault="006D01B2" w:rsidP="00C0016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16-22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C176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K, Sharma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C1767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Liquid media’s in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Bhavana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Samskara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: A </w:t>
            </w:r>
          </w:p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pharmaceutico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-therapeutic prospect</w:t>
            </w:r>
          </w:p>
        </w:tc>
        <w:tc>
          <w:tcPr>
            <w:tcW w:w="2070" w:type="dxa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The Journal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Phytopharmacology</w:t>
            </w:r>
            <w:proofErr w:type="spellEnd"/>
          </w:p>
        </w:tc>
        <w:tc>
          <w:tcPr>
            <w:tcW w:w="990" w:type="dxa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4(1)</w:t>
            </w:r>
          </w:p>
        </w:tc>
        <w:tc>
          <w:tcPr>
            <w:tcW w:w="828" w:type="dxa"/>
          </w:tcPr>
          <w:p w:rsidR="006D01B2" w:rsidRPr="004152FB" w:rsidRDefault="006D01B2" w:rsidP="00EC176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49-57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Nootropic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efficacy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Satvavajaya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Chikitsaand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Ayurvedic drug therapy: A comparative clinical exposition.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Yoga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</w:tc>
        <w:tc>
          <w:tcPr>
            <w:tcW w:w="990" w:type="dxa"/>
          </w:tcPr>
          <w:p w:rsidR="006D01B2" w:rsidRPr="004152FB" w:rsidRDefault="006D01B2" w:rsidP="00AF596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109-16.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 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Physicochemical evaluation of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male and female plants of 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Guduchi</w:t>
            </w:r>
            <w:proofErr w:type="spellEnd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Willd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.)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Miers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’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The Journal of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Phytopharmacology</w:t>
            </w:r>
            <w:proofErr w:type="spellEnd"/>
          </w:p>
        </w:tc>
        <w:tc>
          <w:tcPr>
            <w:tcW w:w="990" w:type="dxa"/>
          </w:tcPr>
          <w:p w:rsidR="006D01B2" w:rsidRPr="004152FB" w:rsidRDefault="006D01B2" w:rsidP="00AF596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116-120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Śiva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Sa</w:t>
            </w:r>
            <w:r w:rsidRPr="004152FB">
              <w:rPr>
                <w:rFonts w:ascii="Bookman Old Style" w:hAnsi="Times New Roman"/>
                <w:i/>
                <w:sz w:val="20"/>
                <w:szCs w:val="20"/>
              </w:rPr>
              <w:t>ṃ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hitā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– A less Familiar Compendium on Ancient Yoga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Pubmed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indexed)</w:t>
            </w:r>
          </w:p>
          <w:p w:rsidR="00B86F77" w:rsidRPr="004152FB" w:rsidRDefault="00B86F77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B86F77" w:rsidRPr="004152FB" w:rsidRDefault="00B86F77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6D01B2" w:rsidP="006E56B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34( 3)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180-184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Sharma R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Biochemical and Anthropometric Profiles of Different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Prakriti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(Ayurvedic Constitution) Patients of Non-insulin Dependent Diabetes Mellitus.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Obesity and Metabolic Research 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661B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120-124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Ruknuddin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Efficacy of Ayurvedic remedies in Type 2 Diabetes: A Review through works done at Gujarat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Ayurved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University, Jamnagar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Journal of Medical Nutrition and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Nutraceuticals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F37156" w:rsidP="008339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63-69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Physicochemical evaluation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Satva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extracted from male and female plants of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Guduchi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Tinospora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cordifolia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Willd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.) </w:t>
            </w:r>
            <w:proofErr w:type="spellStart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Miers</w:t>
            </w:r>
            <w:proofErr w:type="spellEnd"/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Journal of Ayurveda and Herbal Medicine</w:t>
            </w:r>
          </w:p>
        </w:tc>
        <w:tc>
          <w:tcPr>
            <w:tcW w:w="990" w:type="dxa"/>
          </w:tcPr>
          <w:p w:rsidR="006D01B2" w:rsidRPr="004152FB" w:rsidRDefault="006D01B2" w:rsidP="00DC1DA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1(1) 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13-16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Association of Psychiatric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Co</w:t>
            </w:r>
            <w:r w:rsidRPr="004152FB">
              <w:rPr>
                <w:rFonts w:ascii="Bookman Old Style" w:eastAsia="MS Mincho" w:hAnsi="MS Mincho" w:cs="MS Mincho"/>
                <w:sz w:val="20"/>
                <w:szCs w:val="20"/>
              </w:rPr>
              <w:t>‑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morbidity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in a Young Diabetes Patient: Time to Change the Remedial Paradigms?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Obesity and Metabolic Research 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80580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2(2) </w:t>
            </w:r>
          </w:p>
        </w:tc>
        <w:tc>
          <w:tcPr>
            <w:tcW w:w="828" w:type="dxa"/>
          </w:tcPr>
          <w:p w:rsidR="006D01B2" w:rsidRPr="004152FB" w:rsidRDefault="00622FA8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125-126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‘Physician–patient Relationship: Quo Vadis’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Astrocyte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</w:t>
            </w:r>
            <w:proofErr w:type="spellEnd"/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6D01B2" w:rsidP="00520E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2(1)</w:t>
            </w:r>
          </w:p>
        </w:tc>
        <w:tc>
          <w:tcPr>
            <w:tcW w:w="828" w:type="dxa"/>
          </w:tcPr>
          <w:p w:rsidR="006D01B2" w:rsidRPr="004152FB" w:rsidRDefault="006D01B2" w:rsidP="00622FA8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54-5</w:t>
            </w:r>
            <w:r w:rsidR="00622FA8"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5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Rising Risk of Type 2 diabetes among inhabitant </w:t>
            </w:r>
            <w:proofErr w:type="gramStart"/>
            <w:r w:rsidRPr="004152FB">
              <w:rPr>
                <w:rFonts w:ascii="Bookman Old Style" w:hAnsi="Bookman Old Style"/>
                <w:sz w:val="20"/>
                <w:szCs w:val="20"/>
              </w:rPr>
              <w:t>of  Jamnagar</w:t>
            </w:r>
            <w:proofErr w:type="gram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Gujarat: A Cross  Sectional  Survey.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Quarterly Journal Research in Ayurveda</w:t>
            </w:r>
          </w:p>
        </w:tc>
        <w:tc>
          <w:tcPr>
            <w:tcW w:w="990" w:type="dxa"/>
          </w:tcPr>
          <w:p w:rsidR="006D01B2" w:rsidRPr="004152FB" w:rsidRDefault="00622FA8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</w:t>
            </w:r>
            <w:r w:rsidR="006D01B2" w:rsidRPr="004152FB">
              <w:rPr>
                <w:rFonts w:ascii="Bookman Old Style" w:hAnsi="Bookman Old Style"/>
                <w:sz w:val="20"/>
                <w:szCs w:val="20"/>
              </w:rPr>
              <w:t>6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10-17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Devi N. &amp; Banyal H.S.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66kDa protein isolated from 24,000g, fraction of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exhibits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humoral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immune response,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Science and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4(8)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 J,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M.L. &amp; Banyal H.S.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Status of Pisces,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Amphibia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Reptilia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in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Prasher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area of Mandi District 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(Himachal Pradesh)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Asian J Biological and Life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153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Singh, J., </w:t>
            </w:r>
            <w:proofErr w:type="spellStart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, M. L.  </w:t>
            </w:r>
            <w:proofErr w:type="gramStart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&amp;  Banyal</w:t>
            </w:r>
            <w:proofErr w:type="gramEnd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, H. S.  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Status of Pisces, </w:t>
            </w:r>
            <w:proofErr w:type="spellStart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Amphibia</w:t>
            </w:r>
            <w:proofErr w:type="spellEnd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 and </w:t>
            </w:r>
            <w:proofErr w:type="spellStart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Reptilia</w:t>
            </w:r>
            <w:proofErr w:type="spellEnd"/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 in Prashar area of Mandi district (Himachal Pradesh), India. 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Asian J Biological and Life  Sciences,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4 (2),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150-155</w:t>
            </w:r>
          </w:p>
        </w:tc>
      </w:tr>
      <w:tr w:rsidR="00853909" w:rsidRPr="004152FB" w:rsidTr="003331D3">
        <w:tc>
          <w:tcPr>
            <w:tcW w:w="9576" w:type="dxa"/>
            <w:gridSpan w:val="10"/>
          </w:tcPr>
          <w:p w:rsidR="00853909" w:rsidRDefault="00853909" w:rsidP="00354762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53909" w:rsidRPr="004152FB" w:rsidRDefault="00853909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Sharma R,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Comparative lipid profile of Type 2 obese </w:t>
            </w:r>
            <w:proofErr w:type="gramStart"/>
            <w:r w:rsidRPr="004152FB">
              <w:rPr>
                <w:rFonts w:ascii="Bookman Old Style" w:hAnsi="Bookman Old Style"/>
                <w:sz w:val="20"/>
                <w:szCs w:val="20"/>
              </w:rPr>
              <w:t>diabetic  and</w:t>
            </w:r>
            <w:proofErr w:type="gramEnd"/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obese </w:t>
            </w:r>
            <w:proofErr w:type="spellStart"/>
            <w:r w:rsidRPr="004152FB">
              <w:rPr>
                <w:rFonts w:ascii="Bookman Old Style" w:hAnsi="Bookman Old Style"/>
                <w:sz w:val="20"/>
                <w:szCs w:val="20"/>
              </w:rPr>
              <w:t>nondiabetic</w:t>
            </w:r>
            <w:proofErr w:type="spellEnd"/>
            <w:r w:rsidRPr="004152FB">
              <w:rPr>
                <w:rFonts w:ascii="Bookman Old Style" w:hAnsi="Bookman Old Style"/>
                <w:sz w:val="20"/>
                <w:szCs w:val="20"/>
              </w:rPr>
              <w:t>: A Hospital based study from hilly terrains of Mandi, Himachal Pradesh.</w:t>
            </w:r>
          </w:p>
        </w:tc>
        <w:tc>
          <w:tcPr>
            <w:tcW w:w="2070" w:type="dxa"/>
          </w:tcPr>
          <w:p w:rsidR="006D01B2" w:rsidRPr="004152FB" w:rsidRDefault="005D3ACE" w:rsidP="002F31FC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Health and Allied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5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H,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PK.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Comparative Lipid profile of 2 obese diabetics and obese non-diabetics: A Hospital based study from hilly terrains of Mandi Himachal Pradesh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Health &amp; Allied Sciences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62-64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PK. 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Nanotechnology in Medicine: Leads from Ayurveda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Journal of Pharmacy and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Bioallied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Sciences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8(1)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79-81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H, Sharma R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Review Article Genomic concept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Prakirti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(Human Constitution): An Ayurvedic Acumen.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Basic and Applied Research International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15(4)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PK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Survey Study- Rising risk of type 2 diabetes among inhabitants of Jamnagar Gujarat: A cross-sectional survey. 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Quarterly Journal of Research in Ayurveda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15(36)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Yerawar Probodh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Moreshwar</w:t>
            </w:r>
            <w:proofErr w:type="spellEnd"/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Critical Study of Research Methodology in Ayurvedic Classics: A Comparative Study with Modern Methodology.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Journal of Sanskrit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Samhita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Siddhanta</w:t>
            </w:r>
            <w:proofErr w:type="spellEnd"/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2(3)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45-49</w:t>
            </w:r>
          </w:p>
        </w:tc>
      </w:tr>
      <w:tr w:rsidR="000E3EB3" w:rsidRPr="004152FB" w:rsidTr="002A4387">
        <w:tc>
          <w:tcPr>
            <w:tcW w:w="648" w:type="dxa"/>
            <w:gridSpan w:val="2"/>
          </w:tcPr>
          <w:p w:rsidR="000E3EB3" w:rsidRPr="004152FB" w:rsidRDefault="000E3EB3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Pirta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C. Sharma, N.N. &amp; Banyal H.S. </w:t>
            </w:r>
          </w:p>
        </w:tc>
        <w:tc>
          <w:tcPr>
            <w:tcW w:w="810" w:type="dxa"/>
            <w:gridSpan w:val="2"/>
          </w:tcPr>
          <w:p w:rsidR="000E3EB3" w:rsidRPr="004152FB" w:rsidRDefault="000E3EB3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43kDa recombinant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plasmepsin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elicits immune response in mice against Plasmodium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Malaria</w:t>
            </w:r>
          </w:p>
        </w:tc>
        <w:tc>
          <w:tcPr>
            <w:tcW w:w="207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Acta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Prasitologica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61(1)</w:t>
            </w:r>
          </w:p>
        </w:tc>
        <w:tc>
          <w:tcPr>
            <w:tcW w:w="828" w:type="dxa"/>
          </w:tcPr>
          <w:p w:rsidR="000E3EB3" w:rsidRPr="004152FB" w:rsidRDefault="001228E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102-107</w:t>
            </w:r>
          </w:p>
        </w:tc>
      </w:tr>
      <w:tr w:rsidR="00705B21" w:rsidRPr="004152FB" w:rsidTr="002A4387">
        <w:tc>
          <w:tcPr>
            <w:tcW w:w="648" w:type="dxa"/>
            <w:gridSpan w:val="2"/>
          </w:tcPr>
          <w:p w:rsidR="00705B21" w:rsidRPr="004152FB" w:rsidRDefault="00705B21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05B21" w:rsidRPr="004152FB" w:rsidRDefault="00705B21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R.K. &amp; Banyal H.S. </w:t>
            </w:r>
          </w:p>
        </w:tc>
        <w:tc>
          <w:tcPr>
            <w:tcW w:w="810" w:type="dxa"/>
            <w:gridSpan w:val="2"/>
          </w:tcPr>
          <w:p w:rsidR="00705B21" w:rsidRPr="004152FB" w:rsidRDefault="00705B21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2880" w:type="dxa"/>
            <w:gridSpan w:val="2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Lehthyofauna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of Trans-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Himalyan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Rakchham-Chhitkul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wildlife sanctuary in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Baspa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Sangla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) valley District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Kinnaur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, Himachal Pradesh, India.</w:t>
            </w:r>
          </w:p>
        </w:tc>
        <w:tc>
          <w:tcPr>
            <w:tcW w:w="2070" w:type="dxa"/>
          </w:tcPr>
          <w:p w:rsidR="00705B21" w:rsidRPr="004152FB" w:rsidRDefault="00705B21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Biology</w:t>
            </w:r>
          </w:p>
        </w:tc>
        <w:tc>
          <w:tcPr>
            <w:tcW w:w="990" w:type="dxa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DB6318" w:rsidRPr="004152FB" w:rsidTr="002A4387">
        <w:tc>
          <w:tcPr>
            <w:tcW w:w="648" w:type="dxa"/>
            <w:gridSpan w:val="2"/>
          </w:tcPr>
          <w:p w:rsidR="00DB6318" w:rsidRPr="004152FB" w:rsidRDefault="00DB6318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DB6318" w:rsidRPr="004152FB" w:rsidRDefault="00DB6318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Kabra A, Sharma R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Baghel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US</w:t>
            </w:r>
          </w:p>
        </w:tc>
        <w:tc>
          <w:tcPr>
            <w:tcW w:w="810" w:type="dxa"/>
            <w:gridSpan w:val="2"/>
          </w:tcPr>
          <w:p w:rsidR="00DB6318" w:rsidRPr="004152FB" w:rsidRDefault="00DB6318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Herbal Solutions for neuropsychiatric and neurode</w:t>
            </w:r>
            <w:r w:rsidR="00C42288" w:rsidRPr="004152FB">
              <w:rPr>
                <w:rFonts w:ascii="Bookman Old Style" w:hAnsi="Bookman Old Style" w:cs="Times New Roman"/>
                <w:sz w:val="20"/>
                <w:szCs w:val="20"/>
              </w:rPr>
              <w:t>generative Disorders</w:t>
            </w:r>
          </w:p>
        </w:tc>
        <w:tc>
          <w:tcPr>
            <w:tcW w:w="2070" w:type="dxa"/>
          </w:tcPr>
          <w:p w:rsidR="00DB6318" w:rsidRPr="004152FB" w:rsidRDefault="00DB6318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4(5)</w:t>
            </w:r>
          </w:p>
        </w:tc>
        <w:tc>
          <w:tcPr>
            <w:tcW w:w="828" w:type="dxa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63FB3" w:rsidRPr="004152FB" w:rsidTr="002A4387">
        <w:tc>
          <w:tcPr>
            <w:tcW w:w="648" w:type="dxa"/>
            <w:gridSpan w:val="2"/>
          </w:tcPr>
          <w:p w:rsidR="00E63FB3" w:rsidRPr="004152FB" w:rsidRDefault="00E63FB3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3FB3" w:rsidRPr="00E63FB3" w:rsidRDefault="00E63FB3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Pirta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, C., Sharma, N.N. </w:t>
            </w:r>
            <w:proofErr w:type="gram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&amp;  Banyal</w:t>
            </w:r>
            <w:proofErr w:type="gram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, H. S.   </w:t>
            </w:r>
          </w:p>
        </w:tc>
        <w:tc>
          <w:tcPr>
            <w:tcW w:w="810" w:type="dxa"/>
            <w:gridSpan w:val="2"/>
          </w:tcPr>
          <w:p w:rsidR="00E63FB3" w:rsidRDefault="00E63FB3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E63FB3" w:rsidRDefault="00E63F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43kDa recombinant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plasmepsin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elicits immune response in mice against   Plasmodium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berghei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malaria</w:t>
            </w: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Pr="00E63FB3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63FB3" w:rsidRPr="00E63FB3" w:rsidRDefault="00E63FB3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Acta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Parasitologica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</w:tc>
        <w:tc>
          <w:tcPr>
            <w:tcW w:w="990" w:type="dxa"/>
          </w:tcPr>
          <w:p w:rsidR="00E63FB3" w:rsidRPr="00C52F45" w:rsidRDefault="00E63FB3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61(1), </w:t>
            </w:r>
          </w:p>
        </w:tc>
        <w:tc>
          <w:tcPr>
            <w:tcW w:w="828" w:type="dxa"/>
          </w:tcPr>
          <w:p w:rsidR="00E63FB3" w:rsidRPr="00C52F45" w:rsidRDefault="00E63FB3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102-107</w:t>
            </w:r>
          </w:p>
        </w:tc>
      </w:tr>
      <w:tr w:rsidR="00893BAE" w:rsidRPr="004152FB" w:rsidTr="009235A6">
        <w:tc>
          <w:tcPr>
            <w:tcW w:w="9576" w:type="dxa"/>
            <w:gridSpan w:val="10"/>
          </w:tcPr>
          <w:p w:rsidR="00893BAE" w:rsidRDefault="00893BAE" w:rsidP="00893BAE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93BAE" w:rsidRPr="00C52F45" w:rsidRDefault="00893BAE" w:rsidP="00893BAE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7</w:t>
            </w:r>
          </w:p>
        </w:tc>
      </w:tr>
      <w:tr w:rsidR="00C52F45" w:rsidRPr="004152FB" w:rsidTr="002A4387">
        <w:tc>
          <w:tcPr>
            <w:tcW w:w="648" w:type="dxa"/>
            <w:gridSpan w:val="2"/>
          </w:tcPr>
          <w:p w:rsidR="00C52F45" w:rsidRPr="004152FB" w:rsidRDefault="00C52F45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2F45" w:rsidRPr="00C52F45" w:rsidRDefault="00C52F45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Negi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, R. K.  &amp;  Banyal,  H. S.</w:t>
            </w:r>
          </w:p>
        </w:tc>
        <w:tc>
          <w:tcPr>
            <w:tcW w:w="810" w:type="dxa"/>
            <w:gridSpan w:val="2"/>
          </w:tcPr>
          <w:p w:rsidR="00C52F45" w:rsidRDefault="00C52F45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C52F45" w:rsidRPr="00C52F45" w:rsidRDefault="00C52F45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Ichthyofaunal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study </w:t>
            </w:r>
            <w:proofErr w:type="gram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of  Trans</w:t>
            </w:r>
            <w:proofErr w:type="gram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-Himalayan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Rakchham-Chhitkul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wildlife sanctuary in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Baspa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Sangla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) valley, District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Kinnaur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, Himachal Pradesh, India.  </w:t>
            </w:r>
          </w:p>
        </w:tc>
        <w:tc>
          <w:tcPr>
            <w:tcW w:w="2070" w:type="dxa"/>
          </w:tcPr>
          <w:p w:rsidR="00C52F45" w:rsidRPr="00C52F45" w:rsidRDefault="00C52F45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International Journal of Biology,</w:t>
            </w:r>
          </w:p>
        </w:tc>
        <w:tc>
          <w:tcPr>
            <w:tcW w:w="990" w:type="dxa"/>
          </w:tcPr>
          <w:p w:rsidR="00C52F45" w:rsidRPr="00C52F45" w:rsidRDefault="00C52F45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9(1)</w:t>
            </w:r>
          </w:p>
        </w:tc>
        <w:tc>
          <w:tcPr>
            <w:tcW w:w="828" w:type="dxa"/>
          </w:tcPr>
          <w:p w:rsidR="00C52F45" w:rsidRPr="00C52F45" w:rsidRDefault="00C52F45" w:rsidP="00C52F45">
            <w:pPr>
              <w:tabs>
                <w:tab w:val="left" w:pos="0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36-40</w:t>
            </w:r>
          </w:p>
        </w:tc>
      </w:tr>
      <w:tr w:rsidR="00C52F45" w:rsidRPr="004152FB" w:rsidTr="002A4387">
        <w:tc>
          <w:tcPr>
            <w:tcW w:w="648" w:type="dxa"/>
            <w:gridSpan w:val="2"/>
          </w:tcPr>
          <w:p w:rsidR="00C52F45" w:rsidRPr="004152FB" w:rsidRDefault="00C52F45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2F45" w:rsidRPr="00C52F45" w:rsidRDefault="00C52F45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Devi, N.  &amp;   Banyal</w:t>
            </w:r>
            <w:proofErr w:type="gram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,  H</w:t>
            </w:r>
            <w:proofErr w:type="gram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. S.   </w:t>
            </w:r>
          </w:p>
        </w:tc>
        <w:tc>
          <w:tcPr>
            <w:tcW w:w="810" w:type="dxa"/>
            <w:gridSpan w:val="2"/>
          </w:tcPr>
          <w:p w:rsidR="00C52F45" w:rsidRDefault="00C52F45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C52F45" w:rsidRPr="00C52F45" w:rsidRDefault="00C52F45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Induction of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humoral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immune response by 66 </w:t>
            </w:r>
            <w:proofErr w:type="spell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kDa</w:t>
            </w:r>
            <w:proofErr w:type="spell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gramStart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protein</w:t>
            </w:r>
            <w:proofErr w:type="gramEnd"/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 and amplification of gene present by using Polymerase Chain Reaction.</w:t>
            </w:r>
          </w:p>
        </w:tc>
        <w:tc>
          <w:tcPr>
            <w:tcW w:w="2070" w:type="dxa"/>
          </w:tcPr>
          <w:p w:rsidR="00C52F45" w:rsidRPr="00C52F45" w:rsidRDefault="00C52F45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South Asian Journal of Experimental Biology (in press).</w:t>
            </w:r>
          </w:p>
        </w:tc>
        <w:tc>
          <w:tcPr>
            <w:tcW w:w="990" w:type="dxa"/>
          </w:tcPr>
          <w:p w:rsidR="00C52F45" w:rsidRPr="00C52F45" w:rsidRDefault="00C52F45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C52F45" w:rsidRPr="00C52F45" w:rsidRDefault="00C52F45" w:rsidP="00C52F45">
            <w:pPr>
              <w:tabs>
                <w:tab w:val="left" w:pos="0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, S. Kabra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Aggrawal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N, Kumari C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Ameliorative effect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Quercetin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on Sodium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Azide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Induced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Alzheimers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Disease in Rats possible involvements of PPAR-y agonistic Property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Microbiological and Pharmacological aspects of Biodiversity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45-66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Amin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H, Kabra A,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Prajapati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PK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Therapeutic Claims of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Chyawanprash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An Ayurvedic </w:t>
            </w:r>
            <w:proofErr w:type="spellStart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Polyherbal</w:t>
            </w:r>
            <w:proofErr w:type="spellEnd"/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Microbiological and Pharmacological aspects of Biodiversity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183-202</w:t>
            </w:r>
          </w:p>
        </w:tc>
      </w:tr>
    </w:tbl>
    <w:p w:rsidR="00F546EF" w:rsidRPr="00291571" w:rsidRDefault="00F546EF" w:rsidP="00622FA8">
      <w:pPr>
        <w:pStyle w:val="NoSpacing"/>
        <w:rPr>
          <w:rFonts w:ascii="Times New Roman" w:hAnsi="Times New Roman" w:cs="Times New Roman"/>
        </w:rPr>
      </w:pPr>
    </w:p>
    <w:sectPr w:rsidR="00F546EF" w:rsidRPr="00291571" w:rsidSect="00F56909">
      <w:footerReference w:type="default" r:id="rId20"/>
      <w:pgSz w:w="12240" w:h="15840"/>
      <w:pgMar w:top="720" w:right="1440" w:bottom="1440" w:left="1440" w:header="720" w:footer="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AB" w:rsidRDefault="00480FAB" w:rsidP="00F0622D">
      <w:pPr>
        <w:spacing w:after="0" w:line="240" w:lineRule="auto"/>
      </w:pPr>
      <w:r>
        <w:separator/>
      </w:r>
    </w:p>
  </w:endnote>
  <w:endnote w:type="continuationSeparator" w:id="1">
    <w:p w:rsidR="00480FAB" w:rsidRDefault="00480FAB" w:rsidP="00F0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0FAB" w:rsidRDefault="00480FAB" w:rsidP="00167344">
        <w:pPr>
          <w:pStyle w:val="Footer"/>
          <w:pBdr>
            <w:top w:val="single" w:sz="4" w:space="7" w:color="D9D9D9" w:themeColor="background1" w:themeShade="D9"/>
          </w:pBdr>
          <w:jc w:val="center"/>
          <w:rPr>
            <w:b/>
          </w:rPr>
        </w:pPr>
        <w:r w:rsidRPr="00167344">
          <w:rPr>
            <w:rFonts w:ascii="Algerian" w:hAnsi="Algerian" w:cs="Times New Roman"/>
            <w:sz w:val="24"/>
            <w:szCs w:val="24"/>
          </w:rPr>
          <w:fldChar w:fldCharType="begin"/>
        </w:r>
        <w:r w:rsidRPr="00167344">
          <w:rPr>
            <w:rFonts w:ascii="Algerian" w:hAnsi="Algerian" w:cs="Times New Roman"/>
            <w:sz w:val="24"/>
            <w:szCs w:val="24"/>
          </w:rPr>
          <w:instrText xml:space="preserve"> PAGE   \* MERGEFORMAT </w:instrText>
        </w:r>
        <w:r w:rsidRPr="00167344">
          <w:rPr>
            <w:rFonts w:ascii="Algerian" w:hAnsi="Algerian" w:cs="Times New Roman"/>
            <w:sz w:val="24"/>
            <w:szCs w:val="24"/>
          </w:rPr>
          <w:fldChar w:fldCharType="separate"/>
        </w:r>
        <w:r w:rsidR="00C770C8" w:rsidRPr="00C770C8">
          <w:rPr>
            <w:rFonts w:ascii="Algerian" w:hAnsi="Algerian" w:cs="Times New Roman"/>
            <w:b/>
            <w:noProof/>
            <w:sz w:val="24"/>
            <w:szCs w:val="24"/>
          </w:rPr>
          <w:t>10</w:t>
        </w:r>
        <w:r w:rsidRPr="00167344">
          <w:rPr>
            <w:rFonts w:ascii="Algerian" w:hAnsi="Algerian" w:cs="Times New Roman"/>
            <w:sz w:val="24"/>
            <w:szCs w:val="24"/>
          </w:rPr>
          <w:fldChar w:fldCharType="end"/>
        </w:r>
        <w:r w:rsidRPr="00167344">
          <w:rPr>
            <w:rFonts w:ascii="Algerian" w:hAnsi="Algerian" w:cs="Times New Roman"/>
            <w:b/>
            <w:sz w:val="24"/>
            <w:szCs w:val="24"/>
          </w:rPr>
          <w:t xml:space="preserve"> | </w:t>
        </w:r>
        <w:r w:rsidRPr="00167344">
          <w:rPr>
            <w:rFonts w:ascii="Algerian" w:hAnsi="Algerian" w:cs="Times New Roman"/>
            <w:b/>
            <w:spacing w:val="60"/>
            <w:sz w:val="24"/>
            <w:szCs w:val="24"/>
          </w:rPr>
          <w:t>Page</w:t>
        </w:r>
      </w:p>
    </w:sdtContent>
  </w:sdt>
  <w:p w:rsidR="00480FAB" w:rsidRDefault="00480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AB" w:rsidRDefault="00480FAB" w:rsidP="00F0622D">
      <w:pPr>
        <w:spacing w:after="0" w:line="240" w:lineRule="auto"/>
      </w:pPr>
      <w:r>
        <w:separator/>
      </w:r>
    </w:p>
  </w:footnote>
  <w:footnote w:type="continuationSeparator" w:id="1">
    <w:p w:rsidR="00480FAB" w:rsidRDefault="00480FAB" w:rsidP="00F0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C9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E52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34D"/>
    <w:multiLevelType w:val="hybridMultilevel"/>
    <w:tmpl w:val="696E2EAC"/>
    <w:lvl w:ilvl="0" w:tplc="E6529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49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208526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D3A34C2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E8301F7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94955DC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12D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E1855A0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12972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E4BDE"/>
    <w:multiLevelType w:val="hybridMultilevel"/>
    <w:tmpl w:val="580E9040"/>
    <w:lvl w:ilvl="0" w:tplc="61CC56E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73EF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savePreviewPicture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3C61"/>
    <w:rsid w:val="0000668D"/>
    <w:rsid w:val="00022FD7"/>
    <w:rsid w:val="000553AC"/>
    <w:rsid w:val="00061B97"/>
    <w:rsid w:val="00064617"/>
    <w:rsid w:val="00070C10"/>
    <w:rsid w:val="00071F00"/>
    <w:rsid w:val="000A0797"/>
    <w:rsid w:val="000A0DD0"/>
    <w:rsid w:val="000A1B78"/>
    <w:rsid w:val="000B17EE"/>
    <w:rsid w:val="000C070B"/>
    <w:rsid w:val="000D1A5F"/>
    <w:rsid w:val="000E2F39"/>
    <w:rsid w:val="000E3EB3"/>
    <w:rsid w:val="000F3CDA"/>
    <w:rsid w:val="001065C1"/>
    <w:rsid w:val="00106DE8"/>
    <w:rsid w:val="0011133B"/>
    <w:rsid w:val="0012083A"/>
    <w:rsid w:val="001228E2"/>
    <w:rsid w:val="00123F64"/>
    <w:rsid w:val="00126545"/>
    <w:rsid w:val="0013327F"/>
    <w:rsid w:val="00134C67"/>
    <w:rsid w:val="00136BDC"/>
    <w:rsid w:val="001377ED"/>
    <w:rsid w:val="00144B87"/>
    <w:rsid w:val="001470FF"/>
    <w:rsid w:val="00150F9F"/>
    <w:rsid w:val="00167344"/>
    <w:rsid w:val="00170298"/>
    <w:rsid w:val="00172EEE"/>
    <w:rsid w:val="001911F2"/>
    <w:rsid w:val="001918CA"/>
    <w:rsid w:val="001A0AE5"/>
    <w:rsid w:val="001B2183"/>
    <w:rsid w:val="001B6006"/>
    <w:rsid w:val="001C6852"/>
    <w:rsid w:val="001D612E"/>
    <w:rsid w:val="001D6A5C"/>
    <w:rsid w:val="001E630D"/>
    <w:rsid w:val="001F5532"/>
    <w:rsid w:val="0020234D"/>
    <w:rsid w:val="002062E9"/>
    <w:rsid w:val="002325C9"/>
    <w:rsid w:val="002368F6"/>
    <w:rsid w:val="00242801"/>
    <w:rsid w:val="00282DB5"/>
    <w:rsid w:val="00291571"/>
    <w:rsid w:val="002A4387"/>
    <w:rsid w:val="002C64D9"/>
    <w:rsid w:val="002D1FE9"/>
    <w:rsid w:val="002D402C"/>
    <w:rsid w:val="002D626D"/>
    <w:rsid w:val="002E5CDB"/>
    <w:rsid w:val="002F31FC"/>
    <w:rsid w:val="00327672"/>
    <w:rsid w:val="003333EB"/>
    <w:rsid w:val="0033643E"/>
    <w:rsid w:val="0034616A"/>
    <w:rsid w:val="00352BCE"/>
    <w:rsid w:val="00354762"/>
    <w:rsid w:val="003552AF"/>
    <w:rsid w:val="00362DE1"/>
    <w:rsid w:val="003B03BE"/>
    <w:rsid w:val="003C0998"/>
    <w:rsid w:val="003C12A9"/>
    <w:rsid w:val="003C5944"/>
    <w:rsid w:val="003F2724"/>
    <w:rsid w:val="00404EA1"/>
    <w:rsid w:val="004152FB"/>
    <w:rsid w:val="00432029"/>
    <w:rsid w:val="00440907"/>
    <w:rsid w:val="004665CD"/>
    <w:rsid w:val="00471245"/>
    <w:rsid w:val="00480FAB"/>
    <w:rsid w:val="00492FE4"/>
    <w:rsid w:val="00493EC9"/>
    <w:rsid w:val="004A0FB7"/>
    <w:rsid w:val="004A383B"/>
    <w:rsid w:val="004A5A49"/>
    <w:rsid w:val="004A63E3"/>
    <w:rsid w:val="004B4D23"/>
    <w:rsid w:val="004C307D"/>
    <w:rsid w:val="004D05D1"/>
    <w:rsid w:val="004D382B"/>
    <w:rsid w:val="00501026"/>
    <w:rsid w:val="00520E49"/>
    <w:rsid w:val="0054309D"/>
    <w:rsid w:val="0055581A"/>
    <w:rsid w:val="00555B2F"/>
    <w:rsid w:val="005618D1"/>
    <w:rsid w:val="005656E3"/>
    <w:rsid w:val="005767A0"/>
    <w:rsid w:val="00576898"/>
    <w:rsid w:val="0059405D"/>
    <w:rsid w:val="005952E5"/>
    <w:rsid w:val="005B1A4D"/>
    <w:rsid w:val="005C1DC8"/>
    <w:rsid w:val="005D087C"/>
    <w:rsid w:val="005D3ACE"/>
    <w:rsid w:val="005F76D1"/>
    <w:rsid w:val="00622FA8"/>
    <w:rsid w:val="00650E8C"/>
    <w:rsid w:val="00651C0C"/>
    <w:rsid w:val="0065591F"/>
    <w:rsid w:val="0065752B"/>
    <w:rsid w:val="00661BC1"/>
    <w:rsid w:val="0066210E"/>
    <w:rsid w:val="0066240D"/>
    <w:rsid w:val="00666918"/>
    <w:rsid w:val="00667319"/>
    <w:rsid w:val="00676972"/>
    <w:rsid w:val="0068409C"/>
    <w:rsid w:val="006A19BD"/>
    <w:rsid w:val="006C4139"/>
    <w:rsid w:val="006C61A8"/>
    <w:rsid w:val="006D01B2"/>
    <w:rsid w:val="006E31A4"/>
    <w:rsid w:val="006E56B7"/>
    <w:rsid w:val="007007E5"/>
    <w:rsid w:val="00705B21"/>
    <w:rsid w:val="00713C61"/>
    <w:rsid w:val="00722B8C"/>
    <w:rsid w:val="007613C2"/>
    <w:rsid w:val="00761B55"/>
    <w:rsid w:val="00764325"/>
    <w:rsid w:val="00780F84"/>
    <w:rsid w:val="007B1202"/>
    <w:rsid w:val="007C3BF7"/>
    <w:rsid w:val="007C6250"/>
    <w:rsid w:val="007D6360"/>
    <w:rsid w:val="007E0C15"/>
    <w:rsid w:val="0080580C"/>
    <w:rsid w:val="00805B96"/>
    <w:rsid w:val="00813C62"/>
    <w:rsid w:val="008145F0"/>
    <w:rsid w:val="00814E64"/>
    <w:rsid w:val="00817E3B"/>
    <w:rsid w:val="00833967"/>
    <w:rsid w:val="00843588"/>
    <w:rsid w:val="00852105"/>
    <w:rsid w:val="0085277C"/>
    <w:rsid w:val="00853909"/>
    <w:rsid w:val="008711EA"/>
    <w:rsid w:val="008871ED"/>
    <w:rsid w:val="00893BAE"/>
    <w:rsid w:val="008B0F1E"/>
    <w:rsid w:val="008B56F0"/>
    <w:rsid w:val="008D101C"/>
    <w:rsid w:val="008F3206"/>
    <w:rsid w:val="00903D91"/>
    <w:rsid w:val="0092354E"/>
    <w:rsid w:val="00994BEC"/>
    <w:rsid w:val="009A2D9B"/>
    <w:rsid w:val="009B0C89"/>
    <w:rsid w:val="009C4158"/>
    <w:rsid w:val="009D3B2A"/>
    <w:rsid w:val="009F4F60"/>
    <w:rsid w:val="00A0117C"/>
    <w:rsid w:val="00A0499A"/>
    <w:rsid w:val="00A054FE"/>
    <w:rsid w:val="00A34055"/>
    <w:rsid w:val="00A70999"/>
    <w:rsid w:val="00A83259"/>
    <w:rsid w:val="00A94E2E"/>
    <w:rsid w:val="00AA00D3"/>
    <w:rsid w:val="00AA7189"/>
    <w:rsid w:val="00AB3754"/>
    <w:rsid w:val="00AB5FA4"/>
    <w:rsid w:val="00AC0BBC"/>
    <w:rsid w:val="00AC6223"/>
    <w:rsid w:val="00AF1523"/>
    <w:rsid w:val="00AF596D"/>
    <w:rsid w:val="00B13882"/>
    <w:rsid w:val="00B219FF"/>
    <w:rsid w:val="00B21A88"/>
    <w:rsid w:val="00B21AFE"/>
    <w:rsid w:val="00B322DD"/>
    <w:rsid w:val="00B3289F"/>
    <w:rsid w:val="00B44869"/>
    <w:rsid w:val="00B44AB1"/>
    <w:rsid w:val="00B55C8E"/>
    <w:rsid w:val="00B56CA9"/>
    <w:rsid w:val="00B65C58"/>
    <w:rsid w:val="00B76489"/>
    <w:rsid w:val="00B86F77"/>
    <w:rsid w:val="00B879E6"/>
    <w:rsid w:val="00B87A86"/>
    <w:rsid w:val="00BA4175"/>
    <w:rsid w:val="00BF4C9D"/>
    <w:rsid w:val="00C0016B"/>
    <w:rsid w:val="00C00237"/>
    <w:rsid w:val="00C005BF"/>
    <w:rsid w:val="00C21AE0"/>
    <w:rsid w:val="00C2375B"/>
    <w:rsid w:val="00C266F1"/>
    <w:rsid w:val="00C26D35"/>
    <w:rsid w:val="00C42288"/>
    <w:rsid w:val="00C52F45"/>
    <w:rsid w:val="00C57290"/>
    <w:rsid w:val="00C67824"/>
    <w:rsid w:val="00C710F4"/>
    <w:rsid w:val="00C770C8"/>
    <w:rsid w:val="00C84AF8"/>
    <w:rsid w:val="00CC0D47"/>
    <w:rsid w:val="00CD029B"/>
    <w:rsid w:val="00CF6CA6"/>
    <w:rsid w:val="00D1476D"/>
    <w:rsid w:val="00D17733"/>
    <w:rsid w:val="00D220D5"/>
    <w:rsid w:val="00D47639"/>
    <w:rsid w:val="00D52C20"/>
    <w:rsid w:val="00D54897"/>
    <w:rsid w:val="00D55B8C"/>
    <w:rsid w:val="00D74507"/>
    <w:rsid w:val="00D87532"/>
    <w:rsid w:val="00DA3DAC"/>
    <w:rsid w:val="00DA5BC0"/>
    <w:rsid w:val="00DB6318"/>
    <w:rsid w:val="00DC1DA4"/>
    <w:rsid w:val="00DE08A1"/>
    <w:rsid w:val="00DF1D05"/>
    <w:rsid w:val="00DF339F"/>
    <w:rsid w:val="00DF34FE"/>
    <w:rsid w:val="00DF606F"/>
    <w:rsid w:val="00E11CF4"/>
    <w:rsid w:val="00E14EAA"/>
    <w:rsid w:val="00E17D19"/>
    <w:rsid w:val="00E22C80"/>
    <w:rsid w:val="00E45302"/>
    <w:rsid w:val="00E50110"/>
    <w:rsid w:val="00E61442"/>
    <w:rsid w:val="00E63FB3"/>
    <w:rsid w:val="00E771FD"/>
    <w:rsid w:val="00E813B2"/>
    <w:rsid w:val="00E8562E"/>
    <w:rsid w:val="00EA63D4"/>
    <w:rsid w:val="00EC1767"/>
    <w:rsid w:val="00EC2088"/>
    <w:rsid w:val="00EC704D"/>
    <w:rsid w:val="00ED0D4E"/>
    <w:rsid w:val="00ED160F"/>
    <w:rsid w:val="00ED22C6"/>
    <w:rsid w:val="00ED4E54"/>
    <w:rsid w:val="00EE0566"/>
    <w:rsid w:val="00EF7D27"/>
    <w:rsid w:val="00F0622D"/>
    <w:rsid w:val="00F12CB4"/>
    <w:rsid w:val="00F140DD"/>
    <w:rsid w:val="00F16867"/>
    <w:rsid w:val="00F23314"/>
    <w:rsid w:val="00F37156"/>
    <w:rsid w:val="00F37851"/>
    <w:rsid w:val="00F411E6"/>
    <w:rsid w:val="00F50973"/>
    <w:rsid w:val="00F546EF"/>
    <w:rsid w:val="00F56909"/>
    <w:rsid w:val="00F95CA5"/>
    <w:rsid w:val="00FA3472"/>
    <w:rsid w:val="00FC1033"/>
    <w:rsid w:val="00FD0053"/>
    <w:rsid w:val="00FD35E0"/>
    <w:rsid w:val="00FD3D28"/>
    <w:rsid w:val="00FD48F8"/>
    <w:rsid w:val="00FE3366"/>
    <w:rsid w:val="00FF7396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5F"/>
  </w:style>
  <w:style w:type="paragraph" w:styleId="Heading1">
    <w:name w:val="heading 1"/>
    <w:basedOn w:val="Normal"/>
    <w:next w:val="Normal"/>
    <w:link w:val="Heading1Char"/>
    <w:qFormat/>
    <w:rsid w:val="004A0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C61"/>
    <w:pPr>
      <w:spacing w:after="0" w:line="240" w:lineRule="auto"/>
    </w:pPr>
  </w:style>
  <w:style w:type="table" w:styleId="TableGrid">
    <w:name w:val="Table Grid"/>
    <w:basedOn w:val="TableNormal"/>
    <w:uiPriority w:val="59"/>
    <w:rsid w:val="0080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1C6852"/>
    <w:pPr>
      <w:spacing w:after="0" w:line="240" w:lineRule="auto"/>
    </w:pPr>
    <w:rPr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4A0F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0FB7"/>
    <w:pPr>
      <w:ind w:left="720"/>
    </w:pPr>
    <w:rPr>
      <w:rFonts w:ascii="Calibri" w:eastAsia="Times New Roman" w:hAnsi="Calibri" w:cs="Shruti"/>
    </w:rPr>
  </w:style>
  <w:style w:type="paragraph" w:customStyle="1" w:styleId="Default">
    <w:name w:val="Default"/>
    <w:rsid w:val="004A0F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A0FB7"/>
    <w:rPr>
      <w:b/>
      <w:bCs/>
    </w:rPr>
  </w:style>
  <w:style w:type="character" w:customStyle="1" w:styleId="A0">
    <w:name w:val="A0"/>
    <w:uiPriority w:val="99"/>
    <w:rsid w:val="00B44AB1"/>
    <w:rPr>
      <w:rFonts w:cs="Helvetica 55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B44AB1"/>
    <w:rPr>
      <w:color w:val="0000FF"/>
      <w:u w:val="single"/>
    </w:rPr>
  </w:style>
  <w:style w:type="character" w:customStyle="1" w:styleId="apple-converted-space">
    <w:name w:val="apple-converted-space"/>
    <w:rsid w:val="00E22C8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22D"/>
  </w:style>
  <w:style w:type="paragraph" w:styleId="Footer">
    <w:name w:val="footer"/>
    <w:basedOn w:val="Normal"/>
    <w:link w:val="FooterChar"/>
    <w:uiPriority w:val="99"/>
    <w:unhideWhenUsed/>
    <w:rsid w:val="00F0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2D"/>
  </w:style>
  <w:style w:type="paragraph" w:styleId="BalloonText">
    <w:name w:val="Balloon Text"/>
    <w:basedOn w:val="Normal"/>
    <w:link w:val="BalloonTextChar"/>
    <w:uiPriority w:val="99"/>
    <w:semiHidden/>
    <w:unhideWhenUsed/>
    <w:rsid w:val="0002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.in/citations?view_op=view_citation&amp;hl=en&amp;user=XcFENTEAAAAJ&amp;cstart=20&amp;citation_for_view=XcFENTEAAAAJ:mVmsd5A6BfQC" TargetMode="External"/><Relationship Id="rId18" Type="http://schemas.openxmlformats.org/officeDocument/2006/relationships/hyperlink" Target="https://scholar.google.co.in/citations?view_op=view_citation&amp;hl=en&amp;user=XcFENTEAAAAJ&amp;cstart=20&amp;citation_for_view=XcFENTEAAAAJ:RHpTSmoSYBk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.in/citations?view_op=view_citation&amp;hl=en&amp;user=XcFENTEAAAAJ&amp;cstart=20&amp;citation_for_view=XcFENTEAAAAJ:QIV2ME_5wuYC" TargetMode="External"/><Relationship Id="rId17" Type="http://schemas.openxmlformats.org/officeDocument/2006/relationships/hyperlink" Target="https://scholar.google.co.in/citations?view_op=view_citation&amp;hl=en&amp;user=XcFENTEAAAAJ&amp;cstart=20&amp;citation_for_view=XcFENTEAAAAJ:j3f4tGmQtD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.in/citations?view_op=view_citation&amp;hl=en&amp;user=XcFENTEAAAAJ&amp;citation_for_view=XcFENTEAAAAJ:HDshCWvjkbE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.in/citations?view_op=view_citation&amp;hl=en&amp;user=XcFENTEAAAAJ&amp;cstart=20&amp;citation_for_view=XcFENTEAAAAJ:hFOr9nPyWt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.in/citations?view_op=view_citation&amp;hl=en&amp;user=XcFENTEAAAAJ&amp;citation_for_view=XcFENTEAAAAJ:kNdYIx-mwKoC" TargetMode="External"/><Relationship Id="rId10" Type="http://schemas.openxmlformats.org/officeDocument/2006/relationships/hyperlink" Target="https://scholar.google.co.in/citations?view_op=view_citation&amp;hl=en&amp;user=XcFENTEAAAAJ&amp;cstart=20&amp;citation_for_view=XcFENTEAAAAJ:mB3voiENLucC" TargetMode="External"/><Relationship Id="rId19" Type="http://schemas.openxmlformats.org/officeDocument/2006/relationships/hyperlink" Target="https://scholar.google.co.in/citations?view_op=view_citation&amp;hl=en&amp;user=XcFENTEAAAAJ&amp;cstart=20&amp;citation_for_view=XcFENTEAAAAJ:_Qo2XoVZTn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.in/citations?view_op=view_citation&amp;hl=en&amp;user=XcFENTEAAAAJ&amp;cstart=20&amp;citation_for_view=XcFENTEAAAAJ:4JMBOYKVnBMC" TargetMode="External"/><Relationship Id="rId14" Type="http://schemas.openxmlformats.org/officeDocument/2006/relationships/hyperlink" Target="https://scholar.google.co.in/citations?view_op=view_citation&amp;hl=en&amp;user=XcFENTEAAAAJ&amp;cstart=20&amp;citation_for_view=XcFENTEAAAAJ:Zph67rFs4h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2655-041A-4A7C-8184-3240842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to ViceChancellor</dc:creator>
  <cp:keywords/>
  <dc:description/>
  <cp:lastModifiedBy>Mayank Sharma</cp:lastModifiedBy>
  <cp:revision>212</cp:revision>
  <cp:lastPrinted>2015-12-03T10:12:00Z</cp:lastPrinted>
  <dcterms:created xsi:type="dcterms:W3CDTF">2015-11-03T10:01:00Z</dcterms:created>
  <dcterms:modified xsi:type="dcterms:W3CDTF">2017-06-20T07:32:00Z</dcterms:modified>
</cp:coreProperties>
</file>